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80" w:lineRule="auto"/>
        <w:ind w:left="0" w:right="0" w:firstLine="0"/>
        <w:jc w:val="left"/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32"/>
          <w:szCs w:val="32"/>
          <w:u w:val="none"/>
          <w:shd w:fill="auto" w:val="clear"/>
          <w:vertAlign w:val="baseline"/>
          <w:rtl w:val="0"/>
        </w:rPr>
        <w:t xml:space="preserve">Título em caixa baixa e se houver subtítulo separar por dois pontos [Estilo: SNCT_título]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righ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 completo do autor 1 | E-mail | Câmpus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righ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Maria da Penha da Silva Santos | maria.penha@ifsc.edu.br | Câmpus Florianópolis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00" w:line="240" w:lineRule="auto"/>
        <w:ind w:left="0" w:right="0" w:firstLine="0"/>
        <w:jc w:val="left"/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22"/>
          <w:szCs w:val="22"/>
          <w:u w:val="none"/>
          <w:shd w:fill="auto" w:val="clear"/>
          <w:vertAlign w:val="baseline"/>
          <w:rtl w:val="0"/>
        </w:rPr>
        <w:t xml:space="preserve">RESUMO [Estilo: SNCT_título_resumo]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[Estilo: SNCT_texto_resumo] O resumo simples é um texto único, corrido, entre 250 e 500 palavras, sem seções numeradas. Ele precisa dar conta, em sequência, de quatro coisas: o tema e o contexto do trabalho; o objetivo; como o trabalho foi feito; e o que foi encontrado ou concluído. Escreva em terceira pessoa ou na primeira do plural, com frases diretas, e evite citações no corpo do resumo — se houver alguma, ela deve constar nas referências. Não use ilustrações, tabelas nem subtítulos. Se o trabalho estiver em andamento, informe a etapa em que se encontra e apresente os resultados parciais. Substitua todo este parágrafo pelo seu texto, mantendo o estilo SNCT_texto_resumo aplicado.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Palavras-chave: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 utilize três a cinco; escritas em minúsculas; separadas por ponto e vírgula.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320" w:line="280" w:lineRule="auto"/>
        <w:ind w:left="0" w:right="0" w:firstLine="0"/>
        <w:jc w:val="left"/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24"/>
          <w:szCs w:val="24"/>
          <w:u w:val="none"/>
          <w:shd w:fill="auto" w:val="clear"/>
          <w:vertAlign w:val="baseline"/>
          <w:rtl w:val="0"/>
        </w:rPr>
        <w:t xml:space="preserve">ORIENTAÇÕES DE PREENCHIMENTO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2"/>
          <w:szCs w:val="22"/>
          <w:u w:val="none"/>
          <w:shd w:fill="auto" w:val="clear"/>
          <w:vertAlign w:val="baseline"/>
          <w:rtl w:val="0"/>
        </w:rPr>
        <w:t xml:space="preserve">Este modelo é destinado a trabalhos de estudantes, pesquisas em andamento e apresentações que não demandam o detalhamento de um resumo expandido. A submissão tem apenas uma página: título, autoria, resumo, palavras-chave e, se houver, referências. Apague esta seção de orientações antes de submeter.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2"/>
          <w:szCs w:val="22"/>
          <w:u w:val="none"/>
          <w:shd w:fill="auto" w:val="clear"/>
          <w:vertAlign w:val="baseline"/>
          <w:rtl w:val="0"/>
        </w:rPr>
        <w:t xml:space="preserve">Toda a formatação está gravada em estilos. Selecione o parágrafo e aplique o estilo correspondente na galeria de estilos, em vez de formatar manualmente: SNCT_título, SNCT_autor, SNCT_título_resumo, SNCT_texto_resumo e SNCT_Referências.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2"/>
          <w:szCs w:val="22"/>
          <w:u w:val="none"/>
          <w:shd w:fill="auto" w:val="clear"/>
          <w:vertAlign w:val="baseline"/>
          <w:rtl w:val="0"/>
        </w:rPr>
        <w:t xml:space="preserve">Se você citar algum autor, siga a NBR 10520/2023 — autores entre parênteses com apenas a primeira letra maiúscula, na forma (Sobrenome, ano, página) — e liste a obra nas referências, conforme a NBR 6023. Sem citações, a seção de referências pode ser excluída.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00" w:line="280" w:lineRule="auto"/>
        <w:ind w:left="0" w:right="0" w:firstLine="0"/>
        <w:jc w:val="center"/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xo 2" w:cs="Exo 2" w:eastAsia="Exo 2" w:hAnsi="Exo 2"/>
          <w:b w:val="1"/>
          <w:bCs w:val="1"/>
          <w:i w:val="0"/>
          <w:iCs w:val="0"/>
          <w:smallCaps w:val="0"/>
          <w:strike w:val="0"/>
          <w:color w:val="1f3a24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O título REFERÊNCIAS é centralizado e sem indicativo numérico, porque faz parte dos elementos pós-textuais. A lista é alinhada à esquerda, com espaçamento simples e uma linha em branco entre as entradas. Utilize o estilo SNCT_Referências e apague este parágrafo orientativo.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SANTAELLA, Lúcia.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Comunicação ubíqua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: representações na cultura e na educação. São Paulo: Paulus, 2013.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REIS, Valdeci. Sociabilidades juvenis: notas etnográficas na periferia de Florianópolis-SC.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CADECS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, Vitória, v. 8, n. 1, p. 09-30, 2020.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ZUBOFF, Shoshana. Big Other: Capitalismo de vigilância e perspectivas para uma civilização de informação. In: BRUNO, Fernanda; CARDOSO, Bruno; KANASHIRO, Marta; GUILHON, Luciana; MELGAÇO, Lucas.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Tecnopolíticas da vigilância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17201a"/>
          <w:sz w:val="20"/>
          <w:szCs w:val="20"/>
          <w:u w:val="none"/>
          <w:shd w:fill="auto" w:val="clear"/>
          <w:vertAlign w:val="baseline"/>
          <w:rtl w:val="0"/>
        </w:rPr>
        <w:t xml:space="preserve">: perspectivas da margem. São Paulo: Boitempo, 2018. p. 17-68 (Coleção Estado de Sítio).</w:t>
        <w:br w:type="textWrapping"/>
        <w:br w:type="textWrapping"/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color w:val="17201a"/>
          <w:sz w:val="20"/>
          <w:szCs w:val="20"/>
        </w:rPr>
      </w:pPr>
      <w:r w:rsidDel="00000000" w:rsidR="00000000" w:rsidRPr="00000000">
        <w:rPr>
          <w:b w:val="1"/>
          <w:bCs w:val="1"/>
          <w:color w:val="17201a"/>
          <w:sz w:val="20"/>
          <w:szCs w:val="20"/>
          <w:rtl w:val="0"/>
        </w:rPr>
        <w:t xml:space="preserve">Agradecimentos</w:t>
      </w:r>
      <w:r w:rsidDel="00000000" w:rsidR="00000000" w:rsidRPr="00000000">
        <w:rPr>
          <w:color w:val="17201a"/>
          <w:sz w:val="20"/>
          <w:szCs w:val="20"/>
          <w:rtl w:val="0"/>
        </w:rPr>
        <w:t xml:space="preserve">: se julgar necessário, agradecer às agências de fomento e/ou outros.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color w:val="17201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701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Exo 2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erriweath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638"/>
      </w:tabs>
      <w:spacing w:after="0" w:before="0" w:line="240" w:lineRule="auto"/>
      <w:ind w:left="0" w:right="0" w:firstLine="0"/>
      <w:jc w:val="left"/>
      <w:rPr>
        <w:rFonts w:ascii="Exo 2" w:cs="Exo 2" w:eastAsia="Exo 2" w:hAnsi="Exo 2"/>
        <w:b w:val="0"/>
        <w:bCs w:val="0"/>
        <w:i w:val="0"/>
        <w:iCs w:val="0"/>
        <w:smallCaps w:val="0"/>
        <w:strike w:val="0"/>
        <w:color w:val="4a5a4a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Exo 2" w:cs="Exo 2" w:eastAsia="Exo 2" w:hAnsi="Exo 2"/>
        <w:b w:val="0"/>
        <w:bCs w:val="0"/>
        <w:i w:val="0"/>
        <w:iCs w:val="0"/>
        <w:smallCaps w:val="0"/>
        <w:strike w:val="0"/>
        <w:color w:val="4a5a4a"/>
        <w:sz w:val="15"/>
        <w:szCs w:val="15"/>
        <w:u w:val="none"/>
        <w:shd w:fill="auto" w:val="clear"/>
        <w:vertAlign w:val="baseline"/>
        <w:rtl w:val="0"/>
      </w:rPr>
      <w:t xml:space="preserve">CADERNO DE RESUMOS DA SEMANA NACIONAL DE CIÊNCIA E TECNOLOGIA — IFSC | ISSN 2965-8772</w:t>
      <w:tab/>
    </w:r>
    <w:r w:rsidDel="00000000" w:rsidR="00000000" w:rsidRPr="00000000">
      <w:rPr>
        <w:rFonts w:ascii="Exo 2" w:cs="Exo 2" w:eastAsia="Exo 2" w:hAnsi="Exo 2"/>
        <w:b w:val="0"/>
        <w:bCs w:val="0"/>
        <w:i w:val="0"/>
        <w:iCs w:val="0"/>
        <w:smallCaps w:val="0"/>
        <w:strike w:val="0"/>
        <w:color w:val="4a5a4a"/>
        <w:sz w:val="15"/>
        <w:szCs w:val="15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spacing w:after="120" w:line="240" w:lineRule="auto"/>
      <w:jc w:val="center"/>
      <w:rPr/>
    </w:pPr>
    <w:r w:rsidDel="00000000" w:rsidR="00000000" w:rsidRPr="00000000">
      <w:rPr/>
      <w:drawing>
        <wp:inline distB="0" distT="0" distL="0" distR="0">
          <wp:extent cx="5504688" cy="85742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04688" cy="85742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sz w:val="22"/>
        <w:szCs w:val="22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NCTttulo" w:customStyle="1">
    <w:name w:val="SNCT_título"/>
    <w:basedOn w:val="Normal"/>
    <w:qFormat w:val="1"/>
    <w:pPr>
      <w:spacing w:after="280" w:before="0" w:line="280" w:lineRule="auto"/>
      <w:jc w:val="left"/>
    </w:pPr>
    <w:rPr>
      <w:rFonts w:ascii="Exo 2" w:cs="Exo 2" w:hAnsi="Exo 2"/>
      <w:b w:val="1"/>
      <w:color w:val="1f3a24"/>
      <w:sz w:val="32"/>
      <w:szCs w:val="32"/>
    </w:rPr>
  </w:style>
  <w:style w:type="paragraph" w:styleId="SNCTautor" w:customStyle="1">
    <w:name w:val="SNCT_autor"/>
    <w:basedOn w:val="Normal"/>
    <w:qFormat w:val="1"/>
    <w:pPr>
      <w:spacing w:after="60" w:before="0" w:line="240" w:lineRule="auto"/>
      <w:jc w:val="left"/>
    </w:pPr>
    <w:rPr>
      <w:rFonts w:ascii="Merriweather" w:cs="Merriweather" w:hAnsi="Merriweather"/>
      <w:color w:val="17201a"/>
      <w:sz w:val="20"/>
      <w:szCs w:val="20"/>
    </w:rPr>
  </w:style>
  <w:style w:type="paragraph" w:styleId="SNCTtturesumo" w:customStyle="1">
    <w:name w:val="SNCT_título_resumo"/>
    <w:basedOn w:val="Normal"/>
    <w:qFormat w:val="1"/>
    <w:pPr>
      <w:spacing w:after="120" w:before="200" w:line="240" w:lineRule="auto"/>
      <w:jc w:val="left"/>
    </w:pPr>
    <w:rPr>
      <w:rFonts w:ascii="Exo 2" w:cs="Exo 2" w:hAnsi="Exo 2"/>
      <w:b w:val="1"/>
      <w:color w:val="1f3a24"/>
      <w:sz w:val="22"/>
      <w:szCs w:val="22"/>
    </w:rPr>
  </w:style>
  <w:style w:type="paragraph" w:styleId="SNCTtextoresumo" w:customStyle="1">
    <w:name w:val="SNCT_texto_resumo"/>
    <w:basedOn w:val="Normal"/>
    <w:qFormat w:val="1"/>
    <w:pPr>
      <w:spacing w:after="240" w:before="0" w:line="240" w:lineRule="auto"/>
      <w:jc w:val="both"/>
    </w:pPr>
    <w:rPr>
      <w:rFonts w:ascii="Merriweather" w:cs="Merriweather" w:hAnsi="Merriweather"/>
      <w:color w:val="17201a"/>
      <w:sz w:val="20"/>
      <w:szCs w:val="20"/>
    </w:rPr>
  </w:style>
  <w:style w:type="paragraph" w:styleId="SNCTT1" w:customStyle="1">
    <w:name w:val="SNCT_T1"/>
    <w:basedOn w:val="Normal"/>
    <w:qFormat w:val="1"/>
    <w:pPr>
      <w:spacing w:after="160" w:before="320" w:line="280" w:lineRule="auto"/>
      <w:jc w:val="left"/>
    </w:pPr>
    <w:rPr>
      <w:rFonts w:ascii="Exo 2" w:cs="Exo 2" w:hAnsi="Exo 2"/>
      <w:b w:val="1"/>
      <w:color w:val="1f3a24"/>
      <w:sz w:val="24"/>
      <w:szCs w:val="24"/>
    </w:rPr>
  </w:style>
  <w:style w:type="paragraph" w:styleId="SNCTT2" w:customStyle="1">
    <w:name w:val="SNCT_T2"/>
    <w:basedOn w:val="Normal"/>
    <w:qFormat w:val="1"/>
    <w:pPr>
      <w:spacing w:after="160" w:before="280" w:line="280" w:lineRule="auto"/>
      <w:jc w:val="left"/>
    </w:pPr>
    <w:rPr>
      <w:rFonts w:ascii="Exo 2" w:cs="Exo 2" w:hAnsi="Exo 2"/>
      <w:b w:val="1"/>
      <w:color w:val="1f3a24"/>
      <w:sz w:val="24"/>
      <w:szCs w:val="24"/>
    </w:rPr>
  </w:style>
  <w:style w:type="paragraph" w:styleId="SNCTT3" w:customStyle="1">
    <w:name w:val="SNCT_T3"/>
    <w:basedOn w:val="Normal"/>
    <w:qFormat w:val="1"/>
    <w:pPr>
      <w:spacing w:after="160" w:before="280" w:line="280" w:lineRule="auto"/>
      <w:jc w:val="left"/>
    </w:pPr>
    <w:rPr>
      <w:rFonts w:ascii="Exo 2" w:cs="Exo 2" w:hAnsi="Exo 2"/>
      <w:b w:val="1"/>
      <w:color w:val="1f3a24"/>
      <w:sz w:val="22"/>
      <w:szCs w:val="22"/>
    </w:rPr>
  </w:style>
  <w:style w:type="paragraph" w:styleId="SNCTtexto" w:customStyle="1">
    <w:name w:val="SNCT_texto"/>
    <w:basedOn w:val="Normal"/>
    <w:qFormat w:val="1"/>
    <w:pPr>
      <w:spacing w:after="0" w:before="0" w:line="360" w:lineRule="auto"/>
      <w:ind w:firstLine="709"/>
      <w:jc w:val="both"/>
    </w:pPr>
    <w:rPr>
      <w:rFonts w:ascii="Merriweather" w:cs="Merriweather" w:hAnsi="Merriweather"/>
      <w:color w:val="17201a"/>
      <w:sz w:val="22"/>
      <w:szCs w:val="22"/>
    </w:rPr>
  </w:style>
  <w:style w:type="paragraph" w:styleId="SNCTcitao" w:customStyle="1">
    <w:name w:val="SNCT_citação"/>
    <w:basedOn w:val="Normal"/>
    <w:qFormat w:val="1"/>
    <w:pPr>
      <w:spacing w:after="240" w:before="240" w:line="240" w:lineRule="auto"/>
      <w:ind w:left="2268"/>
      <w:jc w:val="both"/>
    </w:pPr>
    <w:rPr>
      <w:rFonts w:ascii="Merriweather" w:cs="Merriweather" w:hAnsi="Merriweather"/>
      <w:color w:val="17201a"/>
      <w:sz w:val="20"/>
      <w:szCs w:val="20"/>
    </w:rPr>
  </w:style>
  <w:style w:type="paragraph" w:styleId="SNCTilustrao" w:customStyle="1">
    <w:name w:val="SNCT_ilustração"/>
    <w:basedOn w:val="Normal"/>
    <w:qFormat w:val="1"/>
    <w:pPr>
      <w:spacing w:after="80" w:before="240" w:line="240" w:lineRule="auto"/>
      <w:jc w:val="center"/>
    </w:pPr>
    <w:rPr>
      <w:rFonts w:ascii="Merriweather" w:cs="Merriweather" w:hAnsi="Merriweather"/>
      <w:color w:val="17201a"/>
      <w:sz w:val="19"/>
      <w:szCs w:val="19"/>
    </w:rPr>
  </w:style>
  <w:style w:type="paragraph" w:styleId="SNCTobjeto" w:customStyle="1">
    <w:name w:val="SNCT_ilustração_objeto"/>
    <w:basedOn w:val="Normal"/>
    <w:qFormat w:val="1"/>
    <w:pPr>
      <w:spacing w:after="80" w:before="0" w:line="240" w:lineRule="auto"/>
      <w:jc w:val="center"/>
    </w:pPr>
    <w:rPr>
      <w:rFonts w:ascii="Merriweather" w:cs="Merriweather" w:hAnsi="Merriweather"/>
      <w:color w:val="17201a"/>
      <w:sz w:val="20"/>
      <w:szCs w:val="20"/>
    </w:rPr>
  </w:style>
  <w:style w:type="paragraph" w:styleId="SNCTFonte" w:customStyle="1">
    <w:name w:val="SNCT_Fonte"/>
    <w:basedOn w:val="Normal"/>
    <w:qFormat w:val="1"/>
    <w:pPr>
      <w:spacing w:after="240" w:before="0" w:line="240" w:lineRule="auto"/>
      <w:jc w:val="left"/>
    </w:pPr>
    <w:rPr>
      <w:rFonts w:ascii="Merriweather" w:cs="Merriweather" w:hAnsi="Merriweather"/>
      <w:color w:val="3c4a3c"/>
      <w:sz w:val="18"/>
      <w:szCs w:val="18"/>
    </w:rPr>
  </w:style>
  <w:style w:type="paragraph" w:styleId="SNCTRefTtulo" w:customStyle="1">
    <w:name w:val="SNCT_Referências_título"/>
    <w:basedOn w:val="Normal"/>
    <w:qFormat w:val="1"/>
    <w:pPr>
      <w:spacing w:after="200" w:before="400" w:line="280" w:lineRule="auto"/>
      <w:jc w:val="center"/>
    </w:pPr>
    <w:rPr>
      <w:rFonts w:ascii="Exo 2" w:cs="Exo 2" w:hAnsi="Exo 2"/>
      <w:b w:val="1"/>
      <w:color w:val="1f3a24"/>
      <w:sz w:val="24"/>
      <w:szCs w:val="24"/>
    </w:rPr>
  </w:style>
  <w:style w:type="paragraph" w:styleId="SNCTReferncias" w:customStyle="1">
    <w:name w:val="SNCT_Referências"/>
    <w:basedOn w:val="Normal"/>
    <w:qFormat w:val="1"/>
    <w:pPr>
      <w:spacing w:after="200" w:before="0" w:line="240" w:lineRule="auto"/>
      <w:jc w:val="left"/>
    </w:pPr>
    <w:rPr>
      <w:rFonts w:ascii="Merriweather" w:cs="Merriweather" w:hAnsi="Merriweather"/>
      <w:color w:val="17201a"/>
      <w:sz w:val="20"/>
      <w:szCs w:val="20"/>
    </w:rPr>
  </w:style>
  <w:style w:type="paragraph" w:styleId="SNCTrodap" w:customStyle="1">
    <w:name w:val="SNCT_rodapé"/>
    <w:basedOn w:val="Normal"/>
    <w:qFormat w:val="1"/>
    <w:pPr>
      <w:spacing w:after="0" w:before="0" w:line="240" w:lineRule="auto"/>
      <w:jc w:val="left"/>
    </w:pPr>
    <w:rPr>
      <w:rFonts w:ascii="Exo 2" w:cs="Exo 2" w:hAnsi="Exo 2"/>
      <w:color w:val="4a5a4a"/>
      <w:sz w:val="15"/>
      <w:szCs w:val="15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xo2-regular.ttf"/><Relationship Id="rId2" Type="http://schemas.openxmlformats.org/officeDocument/2006/relationships/font" Target="fonts/Exo2-bold.ttf"/><Relationship Id="rId3" Type="http://schemas.openxmlformats.org/officeDocument/2006/relationships/font" Target="fonts/Exo2-italic.ttf"/><Relationship Id="rId4" Type="http://schemas.openxmlformats.org/officeDocument/2006/relationships/font" Target="fonts/Exo2-boldItalic.ttf"/><Relationship Id="rId5" Type="http://schemas.openxmlformats.org/officeDocument/2006/relationships/font" Target="fonts/Merriweather-regular.ttf"/><Relationship Id="rId6" Type="http://schemas.openxmlformats.org/officeDocument/2006/relationships/font" Target="fonts/Merriweather-bold.ttf"/><Relationship Id="rId7" Type="http://schemas.openxmlformats.org/officeDocument/2006/relationships/font" Target="fonts/Merriweather-italic.ttf"/><Relationship Id="rId8" Type="http://schemas.openxmlformats.org/officeDocument/2006/relationships/font" Target="fonts/Merriweath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rPdRal5gxLiXhUM4ZIEEeX0Jw==">CgMxLjA4AGooChRzdWdnZXN0Lm14bzJ4Z2VhazZtZBIQRkVSTkFOREEgU1RPRkZFTHIhMXdkNjkyTnJ5TEtHTUxfbnY1eXM3QWdCcXc2UDh6Y3RX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